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788E2" w14:textId="77777777" w:rsidR="004D5FEB" w:rsidRPr="004D5FEB" w:rsidRDefault="004D5FEB" w:rsidP="004D5FEB">
      <w:pPr>
        <w:widowControl w:val="0"/>
        <w:tabs>
          <w:tab w:val="center" w:pos="4514"/>
          <w:tab w:val="right" w:pos="9029"/>
        </w:tabs>
        <w:spacing w:after="120" w:line="276" w:lineRule="auto"/>
        <w:jc w:val="both"/>
        <w:rPr>
          <w:rFonts w:ascii="Arial" w:hAnsi="Arial" w:cs="Arial"/>
          <w:sz w:val="22"/>
          <w:szCs w:val="22"/>
        </w:rPr>
      </w:pPr>
      <w:r w:rsidRPr="004D5FEB">
        <w:rPr>
          <w:rFonts w:ascii="Arial" w:hAnsi="Arial" w:cs="Arial"/>
          <w:b/>
          <w:sz w:val="22"/>
          <w:szCs w:val="22"/>
        </w:rPr>
        <w:tab/>
      </w:r>
      <w:r w:rsidRPr="004D5FEB">
        <w:rPr>
          <w:rFonts w:ascii="Arial" w:hAnsi="Arial" w:cs="Arial"/>
          <w:b/>
          <w:sz w:val="22"/>
          <w:szCs w:val="22"/>
          <w:u w:val="single"/>
        </w:rPr>
        <w:t>GRIEVANCE PROCEDURE</w:t>
      </w:r>
    </w:p>
    <w:p w14:paraId="70C27680" w14:textId="77777777" w:rsidR="00264912" w:rsidRDefault="00264912" w:rsidP="004D5FEB">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120" w:line="276" w:lineRule="auto"/>
        <w:jc w:val="both"/>
        <w:rPr>
          <w:rFonts w:ascii="Arial" w:hAnsi="Arial" w:cs="Arial"/>
          <w:sz w:val="22"/>
          <w:szCs w:val="22"/>
        </w:rPr>
      </w:pPr>
    </w:p>
    <w:p w14:paraId="119B2171" w14:textId="7DEC63ED" w:rsidR="004D5FEB" w:rsidRPr="004D5FEB" w:rsidRDefault="004D5FEB" w:rsidP="004D5FEB">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120" w:line="276" w:lineRule="auto"/>
        <w:jc w:val="both"/>
        <w:rPr>
          <w:rFonts w:ascii="Arial" w:hAnsi="Arial" w:cs="Arial"/>
          <w:sz w:val="22"/>
          <w:szCs w:val="22"/>
        </w:rPr>
      </w:pPr>
      <w:r w:rsidRPr="004D5FEB">
        <w:rPr>
          <w:rFonts w:ascii="Arial" w:hAnsi="Arial" w:cs="Arial"/>
          <w:sz w:val="22"/>
          <w:szCs w:val="22"/>
        </w:rPr>
        <w:t xml:space="preserve">If an employee has any questions or grievances relating to any aspect of their employment, including in relation to data protection, they may seek redress in the following </w:t>
      </w:r>
      <w:proofErr w:type="gramStart"/>
      <w:r w:rsidRPr="004D5FEB">
        <w:rPr>
          <w:rFonts w:ascii="Arial" w:hAnsi="Arial" w:cs="Arial"/>
          <w:sz w:val="22"/>
          <w:szCs w:val="22"/>
        </w:rPr>
        <w:t>manner:-</w:t>
      </w:r>
      <w:proofErr w:type="gramEnd"/>
    </w:p>
    <w:p w14:paraId="075EAFA4" w14:textId="34BD03D3" w:rsidR="004D5FEB" w:rsidRPr="004D5FEB" w:rsidRDefault="004D5FEB" w:rsidP="004D5FEB">
      <w:pPr>
        <w:widowControl w:val="0"/>
        <w:numPr>
          <w:ilvl w:val="0"/>
          <w:numId w:val="4"/>
        </w:num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120" w:line="276" w:lineRule="auto"/>
        <w:jc w:val="both"/>
        <w:rPr>
          <w:rFonts w:ascii="Arial" w:hAnsi="Arial" w:cs="Arial"/>
          <w:sz w:val="22"/>
          <w:szCs w:val="22"/>
        </w:rPr>
      </w:pPr>
      <w:r w:rsidRPr="004D5FEB">
        <w:rPr>
          <w:rFonts w:ascii="Arial" w:hAnsi="Arial" w:cs="Arial"/>
          <w:sz w:val="22"/>
          <w:szCs w:val="22"/>
        </w:rPr>
        <w:t xml:space="preserve">In the first instance the employee should refer the grievance orally to their line manager </w:t>
      </w:r>
      <w:proofErr w:type="gramStart"/>
      <w:r w:rsidRPr="004D5FEB">
        <w:rPr>
          <w:rFonts w:ascii="Arial" w:hAnsi="Arial" w:cs="Arial"/>
          <w:sz w:val="22"/>
          <w:szCs w:val="22"/>
        </w:rPr>
        <w:t>in order to</w:t>
      </w:r>
      <w:proofErr w:type="gramEnd"/>
      <w:r w:rsidRPr="004D5FEB">
        <w:rPr>
          <w:rFonts w:ascii="Arial" w:hAnsi="Arial" w:cs="Arial"/>
          <w:sz w:val="22"/>
          <w:szCs w:val="22"/>
        </w:rPr>
        <w:t xml:space="preserve"> seek to resolve the matter informally.  This should be done without unreasonable delay.</w:t>
      </w:r>
    </w:p>
    <w:p w14:paraId="5684D3E9" w14:textId="2470F966" w:rsidR="004D5FEB" w:rsidRPr="004D5FEB" w:rsidRDefault="004D5FEB" w:rsidP="004D5FEB">
      <w:pPr>
        <w:widowControl w:val="0"/>
        <w:numPr>
          <w:ilvl w:val="0"/>
          <w:numId w:val="4"/>
        </w:num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120" w:line="276" w:lineRule="auto"/>
        <w:jc w:val="both"/>
        <w:rPr>
          <w:rFonts w:ascii="Arial" w:hAnsi="Arial" w:cs="Arial"/>
          <w:sz w:val="22"/>
          <w:szCs w:val="22"/>
        </w:rPr>
      </w:pPr>
      <w:r w:rsidRPr="004D5FEB">
        <w:rPr>
          <w:rFonts w:ascii="Arial" w:hAnsi="Arial" w:cs="Arial"/>
          <w:sz w:val="22"/>
          <w:szCs w:val="22"/>
        </w:rPr>
        <w:t xml:space="preserve">If the grievance is not informally resolved or if the employee considers that they have not been fairly treated, the employee may apply in writing to their line manager, and the matter will be dealt with as a formal grievance.  A meeting will take place with the employee to discuss the grievance.  </w:t>
      </w:r>
    </w:p>
    <w:p w14:paraId="40C2675D" w14:textId="77777777" w:rsidR="004D5FEB" w:rsidRPr="004D5FEB" w:rsidRDefault="004D5FEB" w:rsidP="004D5FEB">
      <w:pPr>
        <w:widowControl w:val="0"/>
        <w:numPr>
          <w:ilvl w:val="0"/>
          <w:numId w:val="4"/>
        </w:num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120" w:line="276" w:lineRule="auto"/>
        <w:jc w:val="both"/>
        <w:rPr>
          <w:rFonts w:ascii="Arial" w:hAnsi="Arial" w:cs="Arial"/>
          <w:sz w:val="22"/>
          <w:szCs w:val="22"/>
        </w:rPr>
      </w:pPr>
      <w:r w:rsidRPr="004D5FEB">
        <w:rPr>
          <w:rFonts w:ascii="Arial" w:hAnsi="Arial" w:cs="Arial"/>
          <w:sz w:val="22"/>
          <w:szCs w:val="22"/>
        </w:rPr>
        <w:t>If the grievance is not thereby resolved or if the employee considers that they have not been fairly treated, the employee may appeal within 5 working days.  An appeal meeting will then take place with the employee the outcome of which shall be final.</w:t>
      </w:r>
    </w:p>
    <w:p w14:paraId="7D042CD4" w14:textId="77777777" w:rsidR="004D5FEB" w:rsidRPr="004D5FEB" w:rsidRDefault="004D5FEB" w:rsidP="004D5FEB">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120" w:line="276" w:lineRule="auto"/>
        <w:ind w:left="720" w:hanging="720"/>
        <w:jc w:val="both"/>
        <w:rPr>
          <w:rFonts w:ascii="Arial" w:hAnsi="Arial" w:cs="Arial"/>
          <w:b/>
          <w:smallCaps/>
          <w:sz w:val="22"/>
          <w:szCs w:val="22"/>
        </w:rPr>
      </w:pPr>
      <w:r w:rsidRPr="004D5FEB">
        <w:rPr>
          <w:rFonts w:ascii="Arial" w:hAnsi="Arial" w:cs="Arial"/>
          <w:b/>
          <w:smallCaps/>
          <w:sz w:val="22"/>
          <w:szCs w:val="22"/>
        </w:rPr>
        <w:t>procedure</w:t>
      </w:r>
    </w:p>
    <w:p w14:paraId="2438BD40" w14:textId="77777777" w:rsidR="004D5FEB" w:rsidRPr="004D5FEB" w:rsidRDefault="004D5FEB" w:rsidP="004D5FEB">
      <w:pPr>
        <w:widowControl w:val="0"/>
        <w:numPr>
          <w:ilvl w:val="0"/>
          <w:numId w:val="3"/>
        </w:num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120" w:line="276" w:lineRule="auto"/>
        <w:jc w:val="both"/>
        <w:rPr>
          <w:rFonts w:ascii="Arial" w:hAnsi="Arial" w:cs="Arial"/>
          <w:sz w:val="22"/>
          <w:szCs w:val="22"/>
        </w:rPr>
      </w:pPr>
      <w:r w:rsidRPr="004D5FEB">
        <w:rPr>
          <w:rFonts w:ascii="Arial" w:hAnsi="Arial" w:cs="Arial"/>
          <w:sz w:val="22"/>
          <w:szCs w:val="22"/>
        </w:rPr>
        <w:t>When an employee raises a formal grievance;</w:t>
      </w:r>
    </w:p>
    <w:p w14:paraId="4B48881C" w14:textId="459BCC2D" w:rsidR="004D5FEB" w:rsidRPr="004D5FEB" w:rsidRDefault="004D5FEB" w:rsidP="004D5FEB">
      <w:pPr>
        <w:widowControl w:val="0"/>
        <w:numPr>
          <w:ilvl w:val="1"/>
          <w:numId w:val="3"/>
        </w:numPr>
        <w:tabs>
          <w:tab w:val="clear" w:pos="114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120" w:line="276" w:lineRule="auto"/>
        <w:ind w:left="1440" w:hanging="660"/>
        <w:jc w:val="both"/>
        <w:rPr>
          <w:rFonts w:ascii="Arial" w:hAnsi="Arial" w:cs="Arial"/>
          <w:sz w:val="22"/>
          <w:szCs w:val="22"/>
        </w:rPr>
      </w:pPr>
      <w:r w:rsidRPr="004D5FEB">
        <w:rPr>
          <w:rFonts w:ascii="Arial" w:hAnsi="Arial" w:cs="Arial"/>
          <w:sz w:val="22"/>
          <w:szCs w:val="22"/>
        </w:rPr>
        <w:t>A hearing will then be arranged to discuss the grievance without unreasonable delay after a grievance is received. At the meeting, the employee will be allowed to explain their grievance and how they think it should be resolved. Consideration should be given to adjourning the meeting for any investigation that may be necessary.</w:t>
      </w:r>
    </w:p>
    <w:p w14:paraId="2FC0FA05" w14:textId="3ABBA227" w:rsidR="004D5FEB" w:rsidRPr="004D5FEB" w:rsidRDefault="004D5FEB" w:rsidP="004D5FEB">
      <w:pPr>
        <w:widowControl w:val="0"/>
        <w:numPr>
          <w:ilvl w:val="1"/>
          <w:numId w:val="3"/>
        </w:numPr>
        <w:tabs>
          <w:tab w:val="clear" w:pos="114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120" w:line="276" w:lineRule="auto"/>
        <w:ind w:left="1440" w:hanging="660"/>
        <w:jc w:val="both"/>
        <w:rPr>
          <w:rFonts w:ascii="Arial" w:hAnsi="Arial" w:cs="Arial"/>
          <w:sz w:val="22"/>
          <w:szCs w:val="22"/>
        </w:rPr>
      </w:pPr>
      <w:r w:rsidRPr="004D5FEB">
        <w:rPr>
          <w:rFonts w:ascii="Arial" w:hAnsi="Arial" w:cs="Arial"/>
          <w:sz w:val="22"/>
          <w:szCs w:val="22"/>
        </w:rPr>
        <w:t xml:space="preserve">It will be investigated without undue delay.  The employer will, as soon as reasonably practicable, establish the facts and, where appropriate, obtain statements from any available witnesses.    </w:t>
      </w:r>
    </w:p>
    <w:p w14:paraId="19446D62" w14:textId="77777777" w:rsidR="004D5FEB" w:rsidRPr="004D5FEB" w:rsidRDefault="004D5FEB" w:rsidP="004D5FEB">
      <w:pPr>
        <w:widowControl w:val="0"/>
        <w:numPr>
          <w:ilvl w:val="1"/>
          <w:numId w:val="3"/>
        </w:numPr>
        <w:tabs>
          <w:tab w:val="clear" w:pos="1140"/>
        </w:tabs>
        <w:spacing w:after="120" w:line="276" w:lineRule="auto"/>
        <w:ind w:left="1440" w:hanging="660"/>
        <w:jc w:val="both"/>
        <w:rPr>
          <w:rFonts w:ascii="Arial" w:hAnsi="Arial" w:cs="Arial"/>
          <w:sz w:val="22"/>
          <w:szCs w:val="22"/>
        </w:rPr>
      </w:pPr>
      <w:r w:rsidRPr="004D5FEB">
        <w:rPr>
          <w:rFonts w:ascii="Arial" w:hAnsi="Arial" w:cs="Arial"/>
          <w:sz w:val="22"/>
          <w:szCs w:val="22"/>
        </w:rPr>
        <w:t>At any hearing the employee may be accompanied by a colleague or trade union representative of their choice.</w:t>
      </w:r>
    </w:p>
    <w:p w14:paraId="7124FABA" w14:textId="77777777" w:rsidR="004D5FEB" w:rsidRPr="004D5FEB" w:rsidRDefault="004D5FEB" w:rsidP="004D5FEB">
      <w:pPr>
        <w:widowControl w:val="0"/>
        <w:numPr>
          <w:ilvl w:val="1"/>
          <w:numId w:val="3"/>
        </w:numPr>
        <w:tabs>
          <w:tab w:val="clear" w:pos="1140"/>
        </w:tabs>
        <w:spacing w:after="120" w:line="276" w:lineRule="auto"/>
        <w:ind w:left="1440" w:hanging="720"/>
        <w:jc w:val="both"/>
        <w:rPr>
          <w:rFonts w:ascii="Arial" w:hAnsi="Arial" w:cs="Arial"/>
          <w:sz w:val="22"/>
          <w:szCs w:val="22"/>
        </w:rPr>
      </w:pPr>
      <w:r w:rsidRPr="004D5FEB">
        <w:rPr>
          <w:rFonts w:ascii="Arial" w:hAnsi="Arial" w:cs="Arial"/>
          <w:sz w:val="22"/>
          <w:szCs w:val="22"/>
        </w:rPr>
        <w:t xml:space="preserve">The employee will be informed in writing of the outcome and the reasons for such outcome. </w:t>
      </w:r>
    </w:p>
    <w:p w14:paraId="32B39F44" w14:textId="77777777" w:rsidR="004D5FEB" w:rsidRPr="004D5FEB" w:rsidRDefault="004D5FEB" w:rsidP="004D5FEB">
      <w:pPr>
        <w:widowControl w:val="0"/>
        <w:numPr>
          <w:ilvl w:val="1"/>
          <w:numId w:val="3"/>
        </w:numPr>
        <w:tabs>
          <w:tab w:val="clear" w:pos="1140"/>
        </w:tabs>
        <w:spacing w:after="120" w:line="276" w:lineRule="auto"/>
        <w:ind w:left="1440" w:hanging="720"/>
        <w:jc w:val="both"/>
        <w:rPr>
          <w:rFonts w:ascii="Arial" w:hAnsi="Arial" w:cs="Arial"/>
          <w:b/>
          <w:sz w:val="22"/>
          <w:szCs w:val="22"/>
        </w:rPr>
      </w:pPr>
      <w:r w:rsidRPr="004D5FEB">
        <w:rPr>
          <w:rFonts w:ascii="Arial" w:hAnsi="Arial" w:cs="Arial"/>
          <w:sz w:val="22"/>
          <w:szCs w:val="22"/>
        </w:rPr>
        <w:t xml:space="preserve">Such response will be issued no later than 10 days following the conclusion of the investigation.  If for any reason it is not possible to respond within this time scale the employee will be </w:t>
      </w:r>
      <w:proofErr w:type="gramStart"/>
      <w:r w:rsidRPr="004D5FEB">
        <w:rPr>
          <w:rFonts w:ascii="Arial" w:hAnsi="Arial" w:cs="Arial"/>
          <w:sz w:val="22"/>
          <w:szCs w:val="22"/>
        </w:rPr>
        <w:t>given an explanation for</w:t>
      </w:r>
      <w:proofErr w:type="gramEnd"/>
      <w:r w:rsidRPr="004D5FEB">
        <w:rPr>
          <w:rFonts w:ascii="Arial" w:hAnsi="Arial" w:cs="Arial"/>
          <w:sz w:val="22"/>
          <w:szCs w:val="22"/>
        </w:rPr>
        <w:t xml:space="preserve"> the delay and will be told when they will receive a response.</w:t>
      </w:r>
      <w:r w:rsidRPr="004D5FEB">
        <w:rPr>
          <w:rFonts w:ascii="Arial" w:hAnsi="Arial" w:cs="Arial"/>
          <w:b/>
          <w:sz w:val="22"/>
          <w:szCs w:val="22"/>
        </w:rPr>
        <w:t xml:space="preserve"> </w:t>
      </w:r>
    </w:p>
    <w:p w14:paraId="14E8674C" w14:textId="004824E2" w:rsidR="004D5FEB" w:rsidRPr="004D5FEB" w:rsidRDefault="004D5FEB" w:rsidP="004D5FEB">
      <w:pPr>
        <w:spacing w:after="120" w:line="276" w:lineRule="auto"/>
        <w:rPr>
          <w:rFonts w:ascii="Arial" w:hAnsi="Arial" w:cs="Arial"/>
          <w:b/>
          <w:bCs/>
          <w:sz w:val="22"/>
          <w:szCs w:val="22"/>
        </w:rPr>
      </w:pPr>
      <w:r>
        <w:rPr>
          <w:rFonts w:ascii="Arial" w:hAnsi="Arial" w:cs="Arial"/>
          <w:b/>
          <w:bCs/>
          <w:sz w:val="22"/>
          <w:szCs w:val="22"/>
        </w:rPr>
        <w:t xml:space="preserve">5. </w:t>
      </w:r>
      <w:r w:rsidRPr="004D5FEB">
        <w:rPr>
          <w:rFonts w:ascii="Arial" w:hAnsi="Arial" w:cs="Arial"/>
          <w:b/>
          <w:bCs/>
          <w:sz w:val="22"/>
          <w:szCs w:val="22"/>
        </w:rPr>
        <w:t>RIGHT TO APPEAL</w:t>
      </w:r>
    </w:p>
    <w:p w14:paraId="01FC32B0" w14:textId="77777777" w:rsidR="004D5FEB" w:rsidRDefault="004D5FEB" w:rsidP="004D5FEB">
      <w:pPr>
        <w:spacing w:after="120" w:line="276" w:lineRule="auto"/>
        <w:ind w:left="1440" w:hanging="731"/>
        <w:rPr>
          <w:rFonts w:ascii="Arial" w:hAnsi="Arial" w:cs="Arial"/>
          <w:sz w:val="22"/>
          <w:szCs w:val="22"/>
        </w:rPr>
      </w:pPr>
      <w:r>
        <w:rPr>
          <w:rFonts w:ascii="Arial" w:hAnsi="Arial" w:cs="Arial"/>
          <w:sz w:val="22"/>
          <w:szCs w:val="22"/>
        </w:rPr>
        <w:t xml:space="preserve">5.1 </w:t>
      </w:r>
      <w:r>
        <w:rPr>
          <w:rFonts w:ascii="Arial" w:hAnsi="Arial" w:cs="Arial"/>
          <w:sz w:val="22"/>
          <w:szCs w:val="22"/>
        </w:rPr>
        <w:tab/>
      </w:r>
      <w:r w:rsidRPr="004D5FEB">
        <w:rPr>
          <w:rFonts w:ascii="Arial" w:hAnsi="Arial" w:cs="Arial"/>
          <w:sz w:val="22"/>
          <w:szCs w:val="22"/>
        </w:rPr>
        <w:t>Where an employee feels that their grievance has not been satisfactorily resolved they should appeal. They should let their employer know the grounds for their appeal without unreasonable delay and in writing.</w:t>
      </w:r>
    </w:p>
    <w:p w14:paraId="3320726A" w14:textId="77267268" w:rsidR="004D5FEB" w:rsidRPr="004D5FEB" w:rsidRDefault="004D5FEB" w:rsidP="004D5FEB">
      <w:pPr>
        <w:spacing w:after="120" w:line="276" w:lineRule="auto"/>
        <w:ind w:left="1440" w:hanging="731"/>
        <w:rPr>
          <w:rFonts w:ascii="Arial" w:hAnsi="Arial" w:cs="Arial"/>
          <w:sz w:val="22"/>
          <w:szCs w:val="22"/>
        </w:rPr>
      </w:pPr>
      <w:r>
        <w:rPr>
          <w:rFonts w:ascii="Arial" w:hAnsi="Arial" w:cs="Arial"/>
          <w:sz w:val="22"/>
          <w:szCs w:val="22"/>
        </w:rPr>
        <w:t xml:space="preserve">5.2 </w:t>
      </w:r>
      <w:r>
        <w:rPr>
          <w:rFonts w:ascii="Arial" w:hAnsi="Arial" w:cs="Arial"/>
          <w:sz w:val="22"/>
          <w:szCs w:val="22"/>
        </w:rPr>
        <w:tab/>
      </w:r>
      <w:r w:rsidRPr="004D5FEB">
        <w:rPr>
          <w:rFonts w:ascii="Arial" w:hAnsi="Arial" w:cs="Arial"/>
          <w:sz w:val="22"/>
          <w:szCs w:val="22"/>
        </w:rPr>
        <w:t>Appeals should be heard without unreasonable delay and at a time and place which should be notified to the employee in advance.</w:t>
      </w:r>
    </w:p>
    <w:p w14:paraId="7ED20EE4" w14:textId="633AE48E" w:rsidR="004D5FEB" w:rsidRPr="004D5FEB" w:rsidRDefault="004D5FEB" w:rsidP="004D5FEB">
      <w:pPr>
        <w:spacing w:after="120" w:line="276" w:lineRule="auto"/>
        <w:ind w:left="1440" w:hanging="731"/>
        <w:rPr>
          <w:rFonts w:ascii="Arial" w:hAnsi="Arial" w:cs="Arial"/>
          <w:sz w:val="22"/>
          <w:szCs w:val="22"/>
        </w:rPr>
      </w:pPr>
      <w:r>
        <w:rPr>
          <w:rFonts w:ascii="Arial" w:hAnsi="Arial" w:cs="Arial"/>
          <w:sz w:val="22"/>
          <w:szCs w:val="22"/>
        </w:rPr>
        <w:t>5.3</w:t>
      </w:r>
      <w:r>
        <w:rPr>
          <w:rFonts w:ascii="Arial" w:hAnsi="Arial" w:cs="Arial"/>
          <w:sz w:val="22"/>
          <w:szCs w:val="22"/>
        </w:rPr>
        <w:tab/>
      </w:r>
      <w:r w:rsidRPr="004D5FEB">
        <w:rPr>
          <w:rFonts w:ascii="Arial" w:hAnsi="Arial" w:cs="Arial"/>
          <w:sz w:val="22"/>
          <w:szCs w:val="22"/>
        </w:rPr>
        <w:t xml:space="preserve">The appeal should be dealt with impartially and wherever possible by a </w:t>
      </w:r>
      <w:r>
        <w:rPr>
          <w:rFonts w:ascii="Arial" w:hAnsi="Arial" w:cs="Arial"/>
          <w:sz w:val="22"/>
          <w:szCs w:val="22"/>
        </w:rPr>
        <w:t>relevant person</w:t>
      </w:r>
      <w:r w:rsidRPr="004D5FEB">
        <w:rPr>
          <w:rFonts w:ascii="Arial" w:hAnsi="Arial" w:cs="Arial"/>
          <w:sz w:val="22"/>
          <w:szCs w:val="22"/>
        </w:rPr>
        <w:t xml:space="preserve"> who has not previously been involved in the case.</w:t>
      </w:r>
    </w:p>
    <w:p w14:paraId="5B923E7B" w14:textId="1A22AC36" w:rsidR="004D5FEB" w:rsidRPr="004D5FEB" w:rsidRDefault="004D5FEB" w:rsidP="004D5FEB">
      <w:pPr>
        <w:spacing w:after="120" w:line="276" w:lineRule="auto"/>
        <w:ind w:left="1440" w:hanging="731"/>
        <w:rPr>
          <w:rFonts w:ascii="Arial" w:hAnsi="Arial" w:cs="Arial"/>
          <w:sz w:val="22"/>
          <w:szCs w:val="22"/>
        </w:rPr>
      </w:pPr>
      <w:r>
        <w:rPr>
          <w:rFonts w:ascii="Arial" w:hAnsi="Arial" w:cs="Arial"/>
          <w:sz w:val="22"/>
          <w:szCs w:val="22"/>
        </w:rPr>
        <w:t>5.4</w:t>
      </w:r>
      <w:r>
        <w:rPr>
          <w:rFonts w:ascii="Arial" w:hAnsi="Arial" w:cs="Arial"/>
          <w:sz w:val="22"/>
          <w:szCs w:val="22"/>
        </w:rPr>
        <w:tab/>
      </w:r>
      <w:r w:rsidRPr="004D5FEB">
        <w:rPr>
          <w:rFonts w:ascii="Arial" w:hAnsi="Arial" w:cs="Arial"/>
          <w:sz w:val="22"/>
          <w:szCs w:val="22"/>
        </w:rPr>
        <w:t>Workers have a statutory right to be accompanied at any such appeal hearing.</w:t>
      </w:r>
    </w:p>
    <w:p w14:paraId="1473E60E" w14:textId="3C8B1745" w:rsidR="004D5FEB" w:rsidRDefault="004D5FEB" w:rsidP="004D5FEB">
      <w:pPr>
        <w:spacing w:after="120" w:line="276" w:lineRule="auto"/>
        <w:ind w:left="1440" w:hanging="731"/>
        <w:rPr>
          <w:rFonts w:ascii="Arial" w:hAnsi="Arial" w:cs="Arial"/>
          <w:sz w:val="22"/>
          <w:szCs w:val="22"/>
        </w:rPr>
      </w:pPr>
      <w:r>
        <w:rPr>
          <w:rFonts w:ascii="Arial" w:hAnsi="Arial" w:cs="Arial"/>
          <w:sz w:val="22"/>
          <w:szCs w:val="22"/>
        </w:rPr>
        <w:lastRenderedPageBreak/>
        <w:t>5.5</w:t>
      </w:r>
      <w:r>
        <w:rPr>
          <w:rFonts w:ascii="Arial" w:hAnsi="Arial" w:cs="Arial"/>
          <w:sz w:val="22"/>
          <w:szCs w:val="22"/>
        </w:rPr>
        <w:tab/>
      </w:r>
      <w:r w:rsidRPr="004D5FEB">
        <w:rPr>
          <w:rFonts w:ascii="Arial" w:hAnsi="Arial" w:cs="Arial"/>
          <w:sz w:val="22"/>
          <w:szCs w:val="22"/>
        </w:rPr>
        <w:t>The outcome of the appeal should be communicated to the employee in writing without unreasonable delay.</w:t>
      </w:r>
    </w:p>
    <w:p w14:paraId="31A791A2" w14:textId="789EFE8D" w:rsidR="004D5FEB" w:rsidRPr="004D5FEB" w:rsidRDefault="004D5FEB" w:rsidP="004D5FEB">
      <w:pPr>
        <w:spacing w:after="120" w:line="276" w:lineRule="auto"/>
        <w:ind w:left="1440" w:hanging="731"/>
        <w:rPr>
          <w:rFonts w:ascii="Arial" w:hAnsi="Arial" w:cs="Arial"/>
          <w:sz w:val="22"/>
          <w:szCs w:val="22"/>
        </w:rPr>
      </w:pPr>
      <w:r>
        <w:rPr>
          <w:rFonts w:ascii="Arial" w:hAnsi="Arial" w:cs="Arial"/>
          <w:sz w:val="22"/>
          <w:szCs w:val="22"/>
        </w:rPr>
        <w:t xml:space="preserve">There is no further right of appeal. </w:t>
      </w:r>
    </w:p>
    <w:p w14:paraId="55E05D31" w14:textId="77777777" w:rsidR="00345515" w:rsidRPr="004D5FEB" w:rsidRDefault="00345515" w:rsidP="004D5FEB">
      <w:pPr>
        <w:spacing w:after="120" w:line="276" w:lineRule="auto"/>
        <w:rPr>
          <w:rFonts w:ascii="Arial" w:hAnsi="Arial" w:cs="Arial"/>
          <w:sz w:val="22"/>
          <w:szCs w:val="22"/>
        </w:rPr>
      </w:pPr>
    </w:p>
    <w:sectPr w:rsidR="00345515" w:rsidRPr="004D5FEB" w:rsidSect="004D5FEB">
      <w:footerReference w:type="default" r:id="rId10"/>
      <w:pgSz w:w="11906" w:h="16838"/>
      <w:pgMar w:top="1080" w:right="1440" w:bottom="1080" w:left="1440" w:header="706" w:footer="360" w:gutter="0"/>
      <w:paperSrc w:first="14" w:other="14"/>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92DE" w14:textId="77777777" w:rsidR="002F0BD5" w:rsidRDefault="002F0BD5">
      <w:pPr>
        <w:spacing w:after="0"/>
      </w:pPr>
      <w:r>
        <w:separator/>
      </w:r>
    </w:p>
  </w:endnote>
  <w:endnote w:type="continuationSeparator" w:id="0">
    <w:p w14:paraId="7230798D" w14:textId="77777777" w:rsidR="002F0BD5" w:rsidRDefault="002F0B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1CA8C" w14:textId="77777777" w:rsidR="004D5FEB" w:rsidRDefault="004D5FEB">
    <w:pPr>
      <w:pStyle w:val="Footer"/>
      <w:jc w:val="center"/>
      <w:rPr>
        <w:sz w:val="20"/>
      </w:rPr>
    </w:pPr>
  </w:p>
  <w:p w14:paraId="69F42457" w14:textId="77777777" w:rsidR="004D5FEB" w:rsidRDefault="004D5FEB">
    <w:pPr>
      <w:pStyle w:val="Footer"/>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4865A" w14:textId="77777777" w:rsidR="002F0BD5" w:rsidRDefault="002F0BD5">
      <w:pPr>
        <w:spacing w:after="0"/>
      </w:pPr>
      <w:r>
        <w:separator/>
      </w:r>
    </w:p>
  </w:footnote>
  <w:footnote w:type="continuationSeparator" w:id="0">
    <w:p w14:paraId="2067CF66" w14:textId="77777777" w:rsidR="002F0BD5" w:rsidRDefault="002F0BD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191"/>
    <w:multiLevelType w:val="hybridMultilevel"/>
    <w:tmpl w:val="CD52554A"/>
    <w:lvl w:ilvl="0" w:tplc="66D2173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BD0DDB"/>
    <w:multiLevelType w:val="multilevel"/>
    <w:tmpl w:val="6E1ED9D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lowerLetter"/>
      <w:lvlText w:val="%4."/>
      <w:lvlJc w:val="left"/>
      <w:pPr>
        <w:tabs>
          <w:tab w:val="num" w:pos="1800"/>
        </w:tabs>
        <w:ind w:left="1800" w:hanging="360"/>
      </w:pPr>
      <w:rPr>
        <w:rFonts w:hint="default"/>
        <w:b w:val="0"/>
        <w:i w:val="0"/>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BAF3D5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861005"/>
    <w:multiLevelType w:val="multilevel"/>
    <w:tmpl w:val="56A8C218"/>
    <w:lvl w:ilvl="0">
      <w:start w:val="4"/>
      <w:numFmt w:val="decimal"/>
      <w:lvlText w:val="%1."/>
      <w:lvlJc w:val="left"/>
      <w:pPr>
        <w:tabs>
          <w:tab w:val="num" w:pos="720"/>
        </w:tabs>
        <w:ind w:left="720" w:hanging="720"/>
      </w:pPr>
      <w:rPr>
        <w:rFonts w:hint="default"/>
      </w:rPr>
    </w:lvl>
    <w:lvl w:ilvl="1">
      <w:start w:val="1"/>
      <w:numFmt w:val="decimal"/>
      <w:isLgl/>
      <w:lvlText w:val="%1.%2"/>
      <w:lvlJc w:val="left"/>
      <w:pPr>
        <w:tabs>
          <w:tab w:val="num" w:pos="1140"/>
        </w:tabs>
        <w:ind w:left="1140" w:hanging="360"/>
      </w:pPr>
      <w:rPr>
        <w:rFonts w:hint="default"/>
        <w:b w:val="0"/>
      </w:rPr>
    </w:lvl>
    <w:lvl w:ilvl="2">
      <w:start w:val="1"/>
      <w:numFmt w:val="decimal"/>
      <w:isLgl/>
      <w:lvlText w:val="%1.%2.%3"/>
      <w:lvlJc w:val="left"/>
      <w:pPr>
        <w:tabs>
          <w:tab w:val="num" w:pos="2280"/>
        </w:tabs>
        <w:ind w:left="2280" w:hanging="720"/>
      </w:pPr>
      <w:rPr>
        <w:rFonts w:hint="default"/>
      </w:rPr>
    </w:lvl>
    <w:lvl w:ilvl="3">
      <w:start w:val="1"/>
      <w:numFmt w:val="decimal"/>
      <w:isLgl/>
      <w:lvlText w:val="%1.%2.%3.%4"/>
      <w:lvlJc w:val="left"/>
      <w:pPr>
        <w:tabs>
          <w:tab w:val="num" w:pos="3060"/>
        </w:tabs>
        <w:ind w:left="3060" w:hanging="720"/>
      </w:pPr>
      <w:rPr>
        <w:rFonts w:hint="default"/>
      </w:rPr>
    </w:lvl>
    <w:lvl w:ilvl="4">
      <w:start w:val="1"/>
      <w:numFmt w:val="decimal"/>
      <w:isLgl/>
      <w:lvlText w:val="%1.%2.%3.%4.%5"/>
      <w:lvlJc w:val="left"/>
      <w:pPr>
        <w:tabs>
          <w:tab w:val="num" w:pos="4200"/>
        </w:tabs>
        <w:ind w:left="4200" w:hanging="1080"/>
      </w:pPr>
      <w:rPr>
        <w:rFonts w:hint="default"/>
      </w:rPr>
    </w:lvl>
    <w:lvl w:ilvl="5">
      <w:start w:val="1"/>
      <w:numFmt w:val="decimal"/>
      <w:isLgl/>
      <w:lvlText w:val="%1.%2.%3.%4.%5.%6"/>
      <w:lvlJc w:val="left"/>
      <w:pPr>
        <w:tabs>
          <w:tab w:val="num" w:pos="5340"/>
        </w:tabs>
        <w:ind w:left="5340" w:hanging="144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7260"/>
        </w:tabs>
        <w:ind w:left="7260" w:hanging="1800"/>
      </w:pPr>
      <w:rPr>
        <w:rFonts w:hint="default"/>
      </w:rPr>
    </w:lvl>
    <w:lvl w:ilvl="8">
      <w:start w:val="1"/>
      <w:numFmt w:val="decimal"/>
      <w:isLgl/>
      <w:lvlText w:val="%1.%2.%3.%4.%5.%6.%7.%8.%9"/>
      <w:lvlJc w:val="left"/>
      <w:pPr>
        <w:tabs>
          <w:tab w:val="num" w:pos="8040"/>
        </w:tabs>
        <w:ind w:left="8040" w:hanging="1800"/>
      </w:pPr>
      <w:rPr>
        <w:rFonts w:hint="default"/>
      </w:rPr>
    </w:lvl>
  </w:abstractNum>
  <w:abstractNum w:abstractNumId="4" w15:restartNumberingAfterBreak="0">
    <w:nsid w:val="79A50F9B"/>
    <w:multiLevelType w:val="multilevel"/>
    <w:tmpl w:val="E00CC1A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43126729">
    <w:abstractNumId w:val="0"/>
  </w:num>
  <w:num w:numId="2" w16cid:durableId="569657580">
    <w:abstractNumId w:val="4"/>
  </w:num>
  <w:num w:numId="3" w16cid:durableId="1212038117">
    <w:abstractNumId w:val="3"/>
  </w:num>
  <w:num w:numId="4" w16cid:durableId="156969897">
    <w:abstractNumId w:val="1"/>
  </w:num>
  <w:num w:numId="5" w16cid:durableId="853955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FEB"/>
    <w:rsid w:val="00047C3D"/>
    <w:rsid w:val="000A22B4"/>
    <w:rsid w:val="00264912"/>
    <w:rsid w:val="002F0BD5"/>
    <w:rsid w:val="00345515"/>
    <w:rsid w:val="004B0F75"/>
    <w:rsid w:val="004D5FEB"/>
    <w:rsid w:val="00CB11E2"/>
    <w:rsid w:val="00D246D9"/>
    <w:rsid w:val="00F70AED"/>
    <w:rsid w:val="00F77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CB66"/>
  <w15:chartTrackingRefBased/>
  <w15:docId w15:val="{AFC78FAA-BA61-4B6E-B079-FC05E142A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FEB"/>
    <w:pPr>
      <w:spacing w:after="240"/>
    </w:pPr>
    <w:rPr>
      <w:rFonts w:ascii="Times New Roman" w:eastAsia="Times New Roman" w:hAnsi="Times New Roman" w:cs="Times New Roman"/>
      <w:kern w:val="0"/>
      <w:sz w:val="26"/>
      <w:szCs w:val="20"/>
      <w14:ligatures w14:val="none"/>
    </w:rPr>
  </w:style>
  <w:style w:type="paragraph" w:styleId="Heading1">
    <w:name w:val="heading 1"/>
    <w:basedOn w:val="Normal"/>
    <w:next w:val="Normal"/>
    <w:link w:val="Heading1Char"/>
    <w:uiPriority w:val="9"/>
    <w:qFormat/>
    <w:rsid w:val="00F70AED"/>
    <w:pPr>
      <w:keepNext/>
      <w:keepLines/>
      <w:widowControl w:val="0"/>
      <w:numPr>
        <w:numId w:val="2"/>
      </w:numPr>
      <w:autoSpaceDE w:val="0"/>
      <w:autoSpaceDN w:val="0"/>
      <w:spacing w:before="240"/>
      <w:ind w:hanging="360"/>
      <w:outlineLvl w:val="0"/>
    </w:pPr>
    <w:rPr>
      <w:rFonts w:ascii="Aptos" w:eastAsiaTheme="majorEastAsia" w:hAnsi="Aptos" w:cstheme="majorBidi"/>
      <w:b/>
      <w:color w:val="0F4761" w:themeColor="accent1" w:themeShade="BF"/>
      <w:sz w:val="28"/>
      <w:szCs w:val="32"/>
    </w:rPr>
  </w:style>
  <w:style w:type="paragraph" w:styleId="Heading2">
    <w:name w:val="heading 2"/>
    <w:basedOn w:val="Normal"/>
    <w:next w:val="Normal"/>
    <w:link w:val="Heading2Char"/>
    <w:uiPriority w:val="9"/>
    <w:semiHidden/>
    <w:unhideWhenUsed/>
    <w:qFormat/>
    <w:rsid w:val="004D5F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5F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5F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5F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5F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F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F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F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AED"/>
    <w:rPr>
      <w:rFonts w:ascii="Aptos" w:eastAsiaTheme="majorEastAsia" w:hAnsi="Aptos" w:cstheme="majorBidi"/>
      <w:b/>
      <w:color w:val="0F4761" w:themeColor="accent1" w:themeShade="BF"/>
      <w:sz w:val="28"/>
      <w:szCs w:val="32"/>
    </w:rPr>
  </w:style>
  <w:style w:type="character" w:customStyle="1" w:styleId="Heading2Char">
    <w:name w:val="Heading 2 Char"/>
    <w:basedOn w:val="DefaultParagraphFont"/>
    <w:link w:val="Heading2"/>
    <w:uiPriority w:val="9"/>
    <w:semiHidden/>
    <w:rsid w:val="004D5F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F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F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F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F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F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F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FEB"/>
    <w:rPr>
      <w:rFonts w:eastAsiaTheme="majorEastAsia" w:cstheme="majorBidi"/>
      <w:color w:val="272727" w:themeColor="text1" w:themeTint="D8"/>
    </w:rPr>
  </w:style>
  <w:style w:type="paragraph" w:styleId="Title">
    <w:name w:val="Title"/>
    <w:basedOn w:val="Normal"/>
    <w:next w:val="Normal"/>
    <w:link w:val="TitleChar"/>
    <w:uiPriority w:val="10"/>
    <w:qFormat/>
    <w:rsid w:val="004D5F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F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FE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F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F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5FEB"/>
    <w:rPr>
      <w:i/>
      <w:iCs/>
      <w:color w:val="404040" w:themeColor="text1" w:themeTint="BF"/>
    </w:rPr>
  </w:style>
  <w:style w:type="paragraph" w:styleId="ListParagraph">
    <w:name w:val="List Paragraph"/>
    <w:basedOn w:val="Normal"/>
    <w:uiPriority w:val="34"/>
    <w:qFormat/>
    <w:rsid w:val="004D5FEB"/>
    <w:pPr>
      <w:ind w:left="720"/>
      <w:contextualSpacing/>
    </w:pPr>
  </w:style>
  <w:style w:type="character" w:styleId="IntenseEmphasis">
    <w:name w:val="Intense Emphasis"/>
    <w:basedOn w:val="DefaultParagraphFont"/>
    <w:uiPriority w:val="21"/>
    <w:qFormat/>
    <w:rsid w:val="004D5FEB"/>
    <w:rPr>
      <w:i/>
      <w:iCs/>
      <w:color w:val="0F4761" w:themeColor="accent1" w:themeShade="BF"/>
    </w:rPr>
  </w:style>
  <w:style w:type="paragraph" w:styleId="IntenseQuote">
    <w:name w:val="Intense Quote"/>
    <w:basedOn w:val="Normal"/>
    <w:next w:val="Normal"/>
    <w:link w:val="IntenseQuoteChar"/>
    <w:uiPriority w:val="30"/>
    <w:qFormat/>
    <w:rsid w:val="004D5F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5FEB"/>
    <w:rPr>
      <w:i/>
      <w:iCs/>
      <w:color w:val="0F4761" w:themeColor="accent1" w:themeShade="BF"/>
    </w:rPr>
  </w:style>
  <w:style w:type="character" w:styleId="IntenseReference">
    <w:name w:val="Intense Reference"/>
    <w:basedOn w:val="DefaultParagraphFont"/>
    <w:uiPriority w:val="32"/>
    <w:qFormat/>
    <w:rsid w:val="004D5FEB"/>
    <w:rPr>
      <w:b/>
      <w:bCs/>
      <w:smallCaps/>
      <w:color w:val="0F4761" w:themeColor="accent1" w:themeShade="BF"/>
      <w:spacing w:val="5"/>
    </w:rPr>
  </w:style>
  <w:style w:type="paragraph" w:styleId="Footer">
    <w:name w:val="footer"/>
    <w:basedOn w:val="Normal"/>
    <w:link w:val="FooterChar"/>
    <w:rsid w:val="004D5FEB"/>
    <w:pPr>
      <w:tabs>
        <w:tab w:val="center" w:pos="4153"/>
        <w:tab w:val="right" w:pos="8306"/>
      </w:tabs>
    </w:pPr>
  </w:style>
  <w:style w:type="character" w:customStyle="1" w:styleId="FooterChar">
    <w:name w:val="Footer Char"/>
    <w:basedOn w:val="DefaultParagraphFont"/>
    <w:link w:val="Footer"/>
    <w:rsid w:val="004D5FEB"/>
    <w:rPr>
      <w:rFonts w:ascii="Times New Roman" w:eastAsia="Times New Roman" w:hAnsi="Times New Roman" w:cs="Times New Roman"/>
      <w:kern w:val="0"/>
      <w:sz w:val="26"/>
      <w:szCs w:val="20"/>
      <w14:ligatures w14:val="none"/>
    </w:rPr>
  </w:style>
  <w:style w:type="paragraph" w:styleId="NormalWeb">
    <w:name w:val="Normal (Web)"/>
    <w:basedOn w:val="Normal"/>
    <w:uiPriority w:val="99"/>
    <w:semiHidden/>
    <w:unhideWhenUsed/>
    <w:rsid w:val="004D5FEB"/>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5F78B-C343-4ABE-996F-D7546034436B}">
  <ds:schemaRefs>
    <ds:schemaRef ds:uri="http://schemas.microsoft.com/office/2006/metadata/properties"/>
    <ds:schemaRef ds:uri="http://schemas.microsoft.com/office/infopath/2007/PartnerControls"/>
    <ds:schemaRef ds:uri="965f0674-525d-46a4-a7de-dd09f6d27e71"/>
    <ds:schemaRef ds:uri="9d18f343-7ba5-462e-aba6-af48cf5773fc"/>
  </ds:schemaRefs>
</ds:datastoreItem>
</file>

<file path=customXml/itemProps2.xml><?xml version="1.0" encoding="utf-8"?>
<ds:datastoreItem xmlns:ds="http://schemas.openxmlformats.org/officeDocument/2006/customXml" ds:itemID="{3D8CAA2E-AFB7-4717-BFD2-BAEAD3225199}">
  <ds:schemaRefs>
    <ds:schemaRef ds:uri="http://schemas.microsoft.com/sharepoint/v3/contenttype/forms"/>
  </ds:schemaRefs>
</ds:datastoreItem>
</file>

<file path=customXml/itemProps3.xml><?xml version="1.0" encoding="utf-8"?>
<ds:datastoreItem xmlns:ds="http://schemas.openxmlformats.org/officeDocument/2006/customXml" ds:itemID="{92F7CE45-3BAB-4C91-B44F-855D32FBB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8f343-7ba5-462e-aba6-af48cf5773fc"/>
    <ds:schemaRef ds:uri="965f0674-525d-46a4-a7de-dd09f6d27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2332</Characters>
  <Application>Microsoft Office Word</Application>
  <DocSecurity>4</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Lees</dc:creator>
  <cp:keywords/>
  <dc:description/>
  <cp:lastModifiedBy>Andrew Salt</cp:lastModifiedBy>
  <cp:revision>2</cp:revision>
  <dcterms:created xsi:type="dcterms:W3CDTF">2026-08-06T15:37:00Z</dcterms:created>
  <dcterms:modified xsi:type="dcterms:W3CDTF">2026-08-06T15:37:00Z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ies>
</file>